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D9" w:rsidRDefault="00C43E11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4DD9" w:rsidRDefault="002C4DD9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DOKTORANDSKÉ ŠTÚDIUM</w:t>
      </w:r>
    </w:p>
    <w:p w:rsidR="002C4DD9" w:rsidRDefault="002C4DD9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2C4DD9" w:rsidRDefault="002C4DD9">
      <w:pPr>
        <w:pStyle w:val="Standard"/>
        <w:spacing w:after="0" w:line="240" w:lineRule="auto"/>
        <w:rPr>
          <w:sz w:val="24"/>
          <w:szCs w:val="24"/>
        </w:rPr>
      </w:pPr>
    </w:p>
    <w:p w:rsidR="002C4DD9" w:rsidRDefault="002C4DD9">
      <w:pPr>
        <w:pStyle w:val="Standard"/>
        <w:spacing w:after="0" w:line="240" w:lineRule="auto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Forma prijímacej skúšky:</w:t>
      </w:r>
    </w:p>
    <w:p w:rsidR="002C4DD9" w:rsidRDefault="00C43E11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>
        <w:rPr>
          <w:rFonts w:cs="Calibri"/>
          <w:sz w:val="24"/>
          <w:szCs w:val="24"/>
          <w:lang w:eastAsia="sk-SK"/>
        </w:rPr>
        <w:t>with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the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examination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board</w:t>
      </w:r>
      <w:proofErr w:type="spellEnd"/>
      <w:r>
        <w:rPr>
          <w:rFonts w:cs="Calibri"/>
          <w:sz w:val="24"/>
          <w:szCs w:val="24"/>
          <w:lang w:eastAsia="sk-SK"/>
        </w:rPr>
        <w:t>.</w:t>
      </w:r>
    </w:p>
    <w:p w:rsidR="002C4DD9" w:rsidRDefault="002C4DD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2C4DD9" w:rsidRDefault="00C43E11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2C4DD9" w:rsidRDefault="00C43E11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r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</w:t>
      </w:r>
      <w:r>
        <w:rPr>
          <w:rFonts w:cs="Calibri"/>
          <w:sz w:val="24"/>
          <w:szCs w:val="24"/>
          <w:lang w:eastAsia="sk-SK"/>
        </w:rPr>
        <w:t>xtu). Slovenskí uchádzači o doktorandské štúdium absolvujú časť pohovoru v anglickom alebo nemeckom jazyku. Pohovor so zahraničnými uchádzačmi je vedený v anglickom jazyku, pokiaľ nie je dohodnuté inak.</w:t>
      </w:r>
    </w:p>
    <w:p w:rsidR="002C4DD9" w:rsidRDefault="002C4DD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Default="00C43E11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proofErr w:type="spellStart"/>
      <w:r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methodo</w:t>
      </w:r>
      <w:r>
        <w:rPr>
          <w:rFonts w:cs="Calibri"/>
          <w:color w:val="000000"/>
          <w:sz w:val="24"/>
          <w:szCs w:val="24"/>
          <w:lang w:eastAsia="sk-SK"/>
        </w:rPr>
        <w:t>logical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in English or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German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.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English or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</w:t>
      </w:r>
    </w:p>
    <w:p w:rsidR="002C4DD9" w:rsidRDefault="002C4DD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2C4DD9" w:rsidRDefault="00C43E11">
      <w:pPr>
        <w:pStyle w:val="Standard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2C4DD9" w:rsidRDefault="00C43E11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>
        <w:rPr>
          <w:rFonts w:cs="Calibri"/>
          <w:color w:val="000000"/>
          <w:sz w:val="24"/>
          <w:szCs w:val="24"/>
          <w:lang w:eastAsia="sk-SK"/>
        </w:rPr>
        <w:t>Zohľadňuje vedomostné predpoklady na vedeckú prácu, komunikačné predpoklady (komunikácia v rodnom jazyku, v anglickom jazyku, pracovná znalosť jazyka prameňov), osobnostné predpo</w:t>
      </w:r>
      <w:r>
        <w:rPr>
          <w:rFonts w:cs="Calibri"/>
          <w:color w:val="000000"/>
          <w:sz w:val="24"/>
          <w:szCs w:val="24"/>
          <w:lang w:eastAsia="sk-SK"/>
        </w:rPr>
        <w:t xml:space="preserve">klady (efektívna komunikácia, tímová práca, skúsenosti s akademickou mobilitou). Pri hodnotení bodovým rebríčkom HÚ SAV rešpektuje odporúčanú metodiku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</w:t>
      </w:r>
      <w:r>
        <w:rPr>
          <w:rFonts w:cs="Calibri"/>
          <w:color w:val="000000"/>
          <w:sz w:val="24"/>
          <w:szCs w:val="24"/>
          <w:lang w:eastAsia="sk-SK"/>
        </w:rPr>
        <w:t>e nedostatok miest, c) nevyhovel.</w:t>
      </w:r>
    </w:p>
    <w:p w:rsidR="002C4DD9" w:rsidRDefault="002C4DD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aspects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considered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knowledge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required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academic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practice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in English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ability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understand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sources</w:t>
      </w:r>
      <w:proofErr w:type="spellEnd"/>
      <w:r>
        <w:rPr>
          <w:rFonts w:cs="Calibri"/>
          <w:sz w:val="24"/>
          <w:szCs w:val="24"/>
        </w:rPr>
        <w:t xml:space="preserve">), </w:t>
      </w:r>
      <w:proofErr w:type="spellStart"/>
      <w:r>
        <w:rPr>
          <w:rFonts w:cs="Calibri"/>
          <w:sz w:val="24"/>
          <w:szCs w:val="24"/>
        </w:rPr>
        <w:t>effective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communicational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teamwo</w:t>
      </w:r>
      <w:r>
        <w:rPr>
          <w:rFonts w:cs="Calibri"/>
          <w:sz w:val="24"/>
          <w:szCs w:val="24"/>
        </w:rPr>
        <w:t>rk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experience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with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scholarly</w:t>
      </w:r>
      <w:proofErr w:type="spellEnd"/>
      <w:r>
        <w:rPr>
          <w:rFonts w:cs="Calibri"/>
          <w:sz w:val="24"/>
          <w:szCs w:val="24"/>
        </w:rPr>
        <w:t xml:space="preserve"> mobility).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scale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recommended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pattern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Faculty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Comenius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University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After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interview, </w:t>
      </w:r>
      <w:proofErr w:type="spellStart"/>
      <w:r>
        <w:rPr>
          <w:rFonts w:cs="Calibri"/>
          <w:sz w:val="24"/>
          <w:szCs w:val="24"/>
        </w:rPr>
        <w:t>applicants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divided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categories</w:t>
      </w:r>
      <w:proofErr w:type="spellEnd"/>
      <w:r>
        <w:rPr>
          <w:rFonts w:cs="Calibri"/>
          <w:sz w:val="24"/>
          <w:szCs w:val="24"/>
        </w:rPr>
        <w:t xml:space="preserve">: a)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, b)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due</w:t>
      </w:r>
      <w:proofErr w:type="spellEnd"/>
      <w:r>
        <w:rPr>
          <w:rFonts w:cs="Calibri"/>
          <w:sz w:val="24"/>
          <w:szCs w:val="24"/>
        </w:rPr>
        <w:t xml:space="preserve"> to a </w:t>
      </w:r>
      <w:proofErr w:type="spellStart"/>
      <w:r>
        <w:rPr>
          <w:rFonts w:cs="Calibri"/>
          <w:sz w:val="24"/>
          <w:szCs w:val="24"/>
        </w:rPr>
        <w:t>lack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positions</w:t>
      </w:r>
      <w:proofErr w:type="spellEnd"/>
      <w:r>
        <w:rPr>
          <w:rFonts w:cs="Calibri"/>
          <w:sz w:val="24"/>
          <w:szCs w:val="24"/>
        </w:rPr>
        <w:t xml:space="preserve">, c) </w:t>
      </w:r>
      <w:proofErr w:type="spellStart"/>
      <w:r>
        <w:rPr>
          <w:rFonts w:cs="Calibri"/>
          <w:sz w:val="24"/>
          <w:szCs w:val="24"/>
        </w:rPr>
        <w:t>did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pass</w:t>
      </w:r>
      <w:proofErr w:type="spellEnd"/>
    </w:p>
    <w:p w:rsidR="002C4DD9" w:rsidRDefault="002C4DD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Default="002C4DD9">
      <w:pPr>
        <w:pStyle w:val="Standard"/>
        <w:spacing w:after="0" w:line="240" w:lineRule="auto"/>
        <w:jc w:val="both"/>
        <w:rPr>
          <w:rFonts w:cs="Calibri"/>
        </w:rPr>
      </w:pPr>
    </w:p>
    <w:p w:rsidR="002C4DD9" w:rsidRDefault="002C4DD9">
      <w:pPr>
        <w:pStyle w:val="Standard"/>
        <w:spacing w:after="0" w:line="240" w:lineRule="auto"/>
        <w:jc w:val="both"/>
        <w:rPr>
          <w:rFonts w:cs="Calibri"/>
        </w:rPr>
      </w:pPr>
    </w:p>
    <w:p w:rsidR="00CF6D16" w:rsidRDefault="00CF6D16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2C4DD9" w:rsidRDefault="00C43E11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externej vzdelávacej inštitúcie</w:t>
      </w:r>
    </w:p>
    <w:p w:rsidR="002C4DD9" w:rsidRDefault="00C43E11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  akademickom roku 2018/2019</w:t>
      </w:r>
    </w:p>
    <w:p w:rsidR="002C4DD9" w:rsidRDefault="002C4DD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2C4DD9" w:rsidRDefault="002C4DD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>Študijný odbor – slovenské dejiny</w:t>
      </w:r>
    </w:p>
    <w:p w:rsidR="002C4DD9" w:rsidRDefault="002C4DD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Interné doktorandské štúdium: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Dvor a kancelária uhorskej kráľovnej Márie z </w:t>
      </w:r>
      <w:proofErr w:type="spellStart"/>
      <w:r>
        <w:rPr>
          <w:sz w:val="24"/>
          <w:szCs w:val="24"/>
        </w:rPr>
        <w:t>Anjou</w:t>
      </w:r>
      <w:proofErr w:type="spellEnd"/>
      <w:r>
        <w:rPr>
          <w:sz w:val="24"/>
          <w:szCs w:val="24"/>
        </w:rPr>
        <w:t xml:space="preserve"> (1382-1395) 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chancery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queen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d'Anjou</w:t>
      </w:r>
      <w:proofErr w:type="spellEnd"/>
      <w:r>
        <w:rPr>
          <w:sz w:val="24"/>
          <w:szCs w:val="24"/>
        </w:rPr>
        <w:t xml:space="preserve"> (1382-1395)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Daniela </w:t>
      </w:r>
      <w:proofErr w:type="spellStart"/>
      <w:r>
        <w:rPr>
          <w:sz w:val="24"/>
          <w:szCs w:val="24"/>
        </w:rPr>
        <w:t>Dvořáková</w:t>
      </w:r>
      <w:proofErr w:type="spellEnd"/>
      <w:r>
        <w:rPr>
          <w:sz w:val="24"/>
          <w:szCs w:val="24"/>
        </w:rPr>
        <w:t>, DrSc.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Hospodársky rozvoj miest</w:t>
      </w:r>
      <w:r>
        <w:rPr>
          <w:sz w:val="24"/>
          <w:szCs w:val="24"/>
        </w:rPr>
        <w:t xml:space="preserve"> na území Slovenska v 14. a15. storočí (prípadová štúdia konkrétneho mesta) /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towns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territory</w:t>
      </w:r>
      <w:proofErr w:type="spellEnd"/>
      <w:r>
        <w:rPr>
          <w:sz w:val="24"/>
          <w:szCs w:val="24"/>
        </w:rPr>
        <w:t xml:space="preserve"> of Slovakia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14th and 15th </w:t>
      </w:r>
      <w:proofErr w:type="spellStart"/>
      <w:r>
        <w:rPr>
          <w:sz w:val="24"/>
          <w:szCs w:val="24"/>
        </w:rPr>
        <w:t>centuries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study of a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>)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 PhDr. Martin Štefánik,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F</w:t>
      </w:r>
      <w:r>
        <w:rPr>
          <w:sz w:val="24"/>
          <w:szCs w:val="24"/>
        </w:rPr>
        <w:t xml:space="preserve">inančné a hospodárske fungovanie panstva v ranom novoveku (podľa vlastného výberu) / </w:t>
      </w:r>
      <w:proofErr w:type="spellStart"/>
      <w:r>
        <w:rPr>
          <w:sz w:val="24"/>
          <w:szCs w:val="24"/>
        </w:rPr>
        <w:t>Economy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finances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noble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domain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</w:t>
      </w:r>
      <w:proofErr w:type="spellEnd"/>
      <w:r>
        <w:rPr>
          <w:sz w:val="24"/>
          <w:szCs w:val="24"/>
        </w:rPr>
        <w:t xml:space="preserve"> (of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choice</w:t>
      </w:r>
      <w:proofErr w:type="spellEnd"/>
      <w:r>
        <w:rPr>
          <w:sz w:val="24"/>
          <w:szCs w:val="24"/>
        </w:rPr>
        <w:t>)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Diana </w:t>
      </w:r>
      <w:proofErr w:type="spellStart"/>
      <w:r>
        <w:rPr>
          <w:sz w:val="24"/>
          <w:szCs w:val="24"/>
        </w:rPr>
        <w:t>Duchoňová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Šľachtický rod v ranom novoveku podľa vlas</w:t>
      </w:r>
      <w:r>
        <w:rPr>
          <w:sz w:val="24"/>
          <w:szCs w:val="24"/>
        </w:rPr>
        <w:t xml:space="preserve">tného výberu (majetkové pomery, komunikácia, dvorské prostredie, </w:t>
      </w:r>
      <w:proofErr w:type="spellStart"/>
      <w:r>
        <w:rPr>
          <w:sz w:val="24"/>
          <w:szCs w:val="24"/>
        </w:rPr>
        <w:t>mecenatúra</w:t>
      </w:r>
      <w:proofErr w:type="spellEnd"/>
      <w:r>
        <w:rPr>
          <w:sz w:val="24"/>
          <w:szCs w:val="24"/>
        </w:rPr>
        <w:t xml:space="preserve">, každodennosť) / </w:t>
      </w:r>
      <w:proofErr w:type="spellStart"/>
      <w:r>
        <w:rPr>
          <w:sz w:val="24"/>
          <w:szCs w:val="24"/>
        </w:rPr>
        <w:t>Noble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choice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property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court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mecenate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)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Diana </w:t>
      </w:r>
      <w:proofErr w:type="spellStart"/>
      <w:r>
        <w:rPr>
          <w:sz w:val="24"/>
          <w:szCs w:val="24"/>
        </w:rPr>
        <w:t>Duchoňová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Vybra</w:t>
      </w:r>
      <w:r>
        <w:rPr>
          <w:sz w:val="24"/>
          <w:szCs w:val="24"/>
        </w:rPr>
        <w:t xml:space="preserve">ný aspekt mestskej správy a hospodárenia raného novoveku /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Economy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Blanka </w:t>
      </w:r>
      <w:proofErr w:type="spellStart"/>
      <w:r>
        <w:rPr>
          <w:sz w:val="24"/>
          <w:szCs w:val="24"/>
        </w:rPr>
        <w:t>Szeghyová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Vybrané aspekty života v pohraničí v období osmanskej okupácie /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borderlands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occupation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</w:t>
      </w:r>
      <w:proofErr w:type="spellStart"/>
      <w:r>
        <w:rPr>
          <w:sz w:val="24"/>
          <w:szCs w:val="24"/>
        </w:rPr>
        <w:t>Tünde</w:t>
      </w:r>
      <w:proofErr w:type="spellEnd"/>
      <w:r>
        <w:rPr>
          <w:sz w:val="24"/>
          <w:szCs w:val="24"/>
        </w:rPr>
        <w:t xml:space="preserve"> Lengyelová, CSc.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Implementácia myšlienok reformácie a ich reflexia v meštianskom prostredí. / </w:t>
      </w: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Perception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Urban Milieu.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</w:t>
      </w:r>
      <w:proofErr w:type="spellStart"/>
      <w:r>
        <w:rPr>
          <w:sz w:val="24"/>
          <w:szCs w:val="24"/>
        </w:rPr>
        <w:t>Tünde</w:t>
      </w:r>
      <w:proofErr w:type="spellEnd"/>
      <w:r>
        <w:rPr>
          <w:sz w:val="24"/>
          <w:szCs w:val="24"/>
        </w:rPr>
        <w:t xml:space="preserve"> Lengyelová, CSc.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Finančné a hospodárske fungovanie stolíc v 18 storočí / </w:t>
      </w:r>
      <w:proofErr w:type="spellStart"/>
      <w:r>
        <w:rPr>
          <w:sz w:val="24"/>
          <w:szCs w:val="24"/>
        </w:rPr>
        <w:t>Economy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finances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counties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18. </w:t>
      </w:r>
      <w:proofErr w:type="spellStart"/>
      <w:r>
        <w:rPr>
          <w:sz w:val="24"/>
          <w:szCs w:val="24"/>
        </w:rPr>
        <w:t>century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Tomáš </w:t>
      </w:r>
      <w:proofErr w:type="spellStart"/>
      <w:r>
        <w:rPr>
          <w:sz w:val="24"/>
          <w:szCs w:val="24"/>
        </w:rPr>
        <w:t>Janura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Župné a mestské elity v Uho</w:t>
      </w:r>
      <w:r>
        <w:rPr>
          <w:sz w:val="24"/>
          <w:szCs w:val="24"/>
        </w:rPr>
        <w:t xml:space="preserve">rsku v 19. storočí (prípadová štúdia konkrétnej župy a municipálneho mesta) / </w:t>
      </w:r>
      <w:proofErr w:type="spellStart"/>
      <w:r>
        <w:rPr>
          <w:sz w:val="24"/>
          <w:szCs w:val="24"/>
        </w:rPr>
        <w:t>County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municipal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elites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19th </w:t>
      </w:r>
      <w:proofErr w:type="spellStart"/>
      <w:r>
        <w:rPr>
          <w:sz w:val="24"/>
          <w:szCs w:val="24"/>
        </w:rPr>
        <w:t>century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Case</w:t>
      </w:r>
      <w:proofErr w:type="spellEnd"/>
      <w:r>
        <w:rPr>
          <w:sz w:val="24"/>
          <w:szCs w:val="24"/>
        </w:rPr>
        <w:t xml:space="preserve"> study of a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municipal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>)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Gabriela </w:t>
      </w:r>
      <w:proofErr w:type="spellStart"/>
      <w:r>
        <w:rPr>
          <w:sz w:val="24"/>
          <w:szCs w:val="24"/>
        </w:rPr>
        <w:t>Dudeková</w:t>
      </w:r>
      <w:proofErr w:type="spellEnd"/>
      <w:r>
        <w:rPr>
          <w:sz w:val="24"/>
          <w:szCs w:val="24"/>
        </w:rPr>
        <w:t xml:space="preserve"> Ková</w:t>
      </w:r>
      <w:r>
        <w:rPr>
          <w:sz w:val="24"/>
          <w:szCs w:val="24"/>
        </w:rPr>
        <w:t>čová,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Slovenské politické elity a slovenské národné hnutie v Uhorsku v období medzi 1880 - 1920. Prípadová štúdia nedominantného nacionalistického hnutia / Slovak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elites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 xml:space="preserve"> in 1880 – 1920. </w:t>
      </w:r>
      <w:proofErr w:type="spellStart"/>
      <w:r>
        <w:rPr>
          <w:sz w:val="24"/>
          <w:szCs w:val="24"/>
        </w:rPr>
        <w:t>Ca</w:t>
      </w:r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study of a </w:t>
      </w:r>
      <w:proofErr w:type="spellStart"/>
      <w:r>
        <w:rPr>
          <w:sz w:val="24"/>
          <w:szCs w:val="24"/>
        </w:rPr>
        <w:t>peripheral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 Ladislav Vörös,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Židovské kultúrno-výchovné spolky a ich vplyv na budovanie identity židov na Slovensku po vzniku 1. ČSR / </w:t>
      </w:r>
      <w:proofErr w:type="spellStart"/>
      <w:r>
        <w:rPr>
          <w:sz w:val="24"/>
          <w:szCs w:val="24"/>
        </w:rPr>
        <w:t>Jewish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educational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z w:val="24"/>
          <w:szCs w:val="24"/>
        </w:rPr>
        <w:t>fluence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Jewish</w:t>
      </w:r>
      <w:proofErr w:type="spellEnd"/>
      <w:r>
        <w:rPr>
          <w:sz w:val="24"/>
          <w:szCs w:val="24"/>
        </w:rPr>
        <w:t xml:space="preserve"> identity in Slovakia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Czechoslovak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</w:t>
      </w:r>
      <w:proofErr w:type="spellEnd"/>
    </w:p>
    <w:p w:rsidR="002C4DD9" w:rsidRDefault="00C43E11">
      <w:pPr>
        <w:pStyle w:val="Standard"/>
        <w:spacing w:after="0" w:line="240" w:lineRule="auto"/>
        <w:jc w:val="both"/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Katarína </w:t>
      </w:r>
      <w:proofErr w:type="spellStart"/>
      <w:r>
        <w:rPr>
          <w:sz w:val="24"/>
          <w:szCs w:val="24"/>
        </w:rPr>
        <w:t>Mešková</w:t>
      </w:r>
      <w:proofErr w:type="spellEnd"/>
      <w:r>
        <w:rPr>
          <w:sz w:val="24"/>
          <w:szCs w:val="24"/>
        </w:rPr>
        <w:t xml:space="preserve"> Hradská,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Školská správa a školské reformy v medzivojnovom období na Slovensku /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</w:t>
      </w:r>
      <w:r>
        <w:rPr>
          <w:sz w:val="24"/>
          <w:szCs w:val="24"/>
        </w:rPr>
        <w:t>tration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interwar</w:t>
      </w:r>
      <w:proofErr w:type="spellEnd"/>
      <w:r>
        <w:rPr>
          <w:sz w:val="24"/>
          <w:szCs w:val="24"/>
        </w:rPr>
        <w:t xml:space="preserve"> Slovakia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Ľubica </w:t>
      </w:r>
      <w:proofErr w:type="spellStart"/>
      <w:r>
        <w:rPr>
          <w:sz w:val="24"/>
          <w:szCs w:val="24"/>
        </w:rPr>
        <w:t>Kázmerová</w:t>
      </w:r>
      <w:proofErr w:type="spellEnd"/>
      <w:r>
        <w:rPr>
          <w:sz w:val="24"/>
          <w:szCs w:val="24"/>
        </w:rPr>
        <w:t>, CSc.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Slovenská spoločnosť na začiatku 90. rokov 20. storočia / Slovak society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1990s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Miroslav </w:t>
      </w:r>
      <w:proofErr w:type="spellStart"/>
      <w:r>
        <w:rPr>
          <w:sz w:val="24"/>
          <w:szCs w:val="24"/>
        </w:rPr>
        <w:t>Londák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DrSc.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Premeny technických elít na Slovensku v medzivojnovom období / </w:t>
      </w:r>
      <w:proofErr w:type="spellStart"/>
      <w:r>
        <w:rPr>
          <w:sz w:val="24"/>
          <w:szCs w:val="24"/>
        </w:rPr>
        <w:t>Technically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elites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interwar</w:t>
      </w:r>
      <w:proofErr w:type="spellEnd"/>
      <w:r>
        <w:rPr>
          <w:sz w:val="24"/>
          <w:szCs w:val="24"/>
        </w:rPr>
        <w:t xml:space="preserve"> Slovakia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 PhDr. Miroslav Sabol, PhD.</w:t>
      </w:r>
    </w:p>
    <w:p w:rsidR="002C4DD9" w:rsidRDefault="002C4DD9">
      <w:pPr>
        <w:pStyle w:val="Standard"/>
        <w:spacing w:after="0" w:line="240" w:lineRule="auto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Externé doktorandské štúdium: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Kriminalita na Hornej Nitre v 18. storočí / </w:t>
      </w:r>
      <w:proofErr w:type="spellStart"/>
      <w:r>
        <w:rPr>
          <w:sz w:val="24"/>
          <w:szCs w:val="24"/>
        </w:rPr>
        <w:t>Criminality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Upper</w:t>
      </w:r>
      <w:proofErr w:type="spellEnd"/>
      <w:r>
        <w:rPr>
          <w:sz w:val="24"/>
          <w:szCs w:val="24"/>
        </w:rPr>
        <w:t xml:space="preserve"> Nitra </w:t>
      </w:r>
      <w:proofErr w:type="spellStart"/>
      <w:r>
        <w:rPr>
          <w:sz w:val="24"/>
          <w:szCs w:val="24"/>
        </w:rPr>
        <w:t>Region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18th </w:t>
      </w:r>
      <w:proofErr w:type="spellStart"/>
      <w:r>
        <w:rPr>
          <w:sz w:val="24"/>
          <w:szCs w:val="24"/>
        </w:rPr>
        <w:t>century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Diana </w:t>
      </w:r>
      <w:proofErr w:type="spellStart"/>
      <w:r>
        <w:rPr>
          <w:sz w:val="24"/>
          <w:szCs w:val="24"/>
        </w:rPr>
        <w:t>Duchoňová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Vybraný aspekt dejín kriminality v ranom novoveku / A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Phenomenon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Crime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Punishment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</w:t>
      </w:r>
      <w:r>
        <w:rPr>
          <w:sz w:val="24"/>
          <w:szCs w:val="24"/>
        </w:rPr>
        <w:t>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Blanka </w:t>
      </w:r>
      <w:proofErr w:type="spellStart"/>
      <w:r>
        <w:rPr>
          <w:sz w:val="24"/>
          <w:szCs w:val="24"/>
        </w:rPr>
        <w:t>Szeghyová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Mestská správa a mestské elity vo vybranej lokalite Uhorska/Slovenska v 19. storočí / </w:t>
      </w:r>
      <w:proofErr w:type="spellStart"/>
      <w:r>
        <w:rPr>
          <w:sz w:val="24"/>
          <w:szCs w:val="24"/>
        </w:rPr>
        <w:t>Municipal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municipal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elites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today’s</w:t>
      </w:r>
      <w:proofErr w:type="spellEnd"/>
      <w:r>
        <w:rPr>
          <w:sz w:val="24"/>
          <w:szCs w:val="24"/>
        </w:rPr>
        <w:t xml:space="preserve">  Slovakia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th </w:t>
      </w:r>
      <w:proofErr w:type="spellStart"/>
      <w:r>
        <w:rPr>
          <w:sz w:val="24"/>
          <w:szCs w:val="24"/>
        </w:rPr>
        <w:t>century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Gabriela </w:t>
      </w:r>
      <w:proofErr w:type="spellStart"/>
      <w:r>
        <w:rPr>
          <w:sz w:val="24"/>
          <w:szCs w:val="24"/>
        </w:rPr>
        <w:t>Dudeková</w:t>
      </w:r>
      <w:proofErr w:type="spellEnd"/>
      <w:r>
        <w:rPr>
          <w:sz w:val="24"/>
          <w:szCs w:val="24"/>
        </w:rPr>
        <w:t xml:space="preserve"> Kováčová,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Formy sociálnej </w:t>
      </w:r>
      <w:proofErr w:type="spellStart"/>
      <w:r>
        <w:rPr>
          <w:sz w:val="24"/>
          <w:szCs w:val="24"/>
        </w:rPr>
        <w:t>disciplinizácie</w:t>
      </w:r>
      <w:proofErr w:type="spellEnd"/>
      <w:r>
        <w:rPr>
          <w:sz w:val="24"/>
          <w:szCs w:val="24"/>
        </w:rPr>
        <w:t xml:space="preserve"> v teórii a praxi osvietenstva 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Disciplinization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Praxis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Enlightenment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Ingrid </w:t>
      </w:r>
      <w:proofErr w:type="spellStart"/>
      <w:r>
        <w:rPr>
          <w:sz w:val="24"/>
          <w:szCs w:val="24"/>
        </w:rPr>
        <w:t>Kušnirák</w:t>
      </w:r>
      <w:r>
        <w:rPr>
          <w:sz w:val="24"/>
          <w:szCs w:val="24"/>
        </w:rPr>
        <w:t>ová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Úloha štátnych rozpočtov medzivojnového Československa v hospodárstve Slovenska / Role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state </w:t>
      </w:r>
      <w:proofErr w:type="spellStart"/>
      <w:r>
        <w:rPr>
          <w:sz w:val="24"/>
          <w:szCs w:val="24"/>
        </w:rPr>
        <w:t>budgets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Czechoslovakia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economy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Ľudovít </w:t>
      </w:r>
      <w:proofErr w:type="spellStart"/>
      <w:r>
        <w:rPr>
          <w:sz w:val="24"/>
          <w:szCs w:val="24"/>
        </w:rPr>
        <w:t>Hallon</w:t>
      </w:r>
      <w:proofErr w:type="spellEnd"/>
      <w:r>
        <w:rPr>
          <w:sz w:val="24"/>
          <w:szCs w:val="24"/>
        </w:rPr>
        <w:t>, DrSc.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Zdravotná starostlivosť vo </w:t>
      </w:r>
      <w:r>
        <w:rPr>
          <w:sz w:val="24"/>
          <w:szCs w:val="24"/>
        </w:rPr>
        <w:t xml:space="preserve">vybranom regióne v rokoch 1918-1938 / </w:t>
      </w:r>
      <w:proofErr w:type="spellStart"/>
      <w:r>
        <w:rPr>
          <w:sz w:val="24"/>
          <w:szCs w:val="24"/>
        </w:rPr>
        <w:t>Healthcare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1918-1938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Školiteľka/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Anna </w:t>
      </w:r>
      <w:proofErr w:type="spellStart"/>
      <w:r>
        <w:rPr>
          <w:sz w:val="24"/>
          <w:szCs w:val="24"/>
        </w:rPr>
        <w:t>Falisová</w:t>
      </w:r>
      <w:proofErr w:type="spellEnd"/>
      <w:r>
        <w:rPr>
          <w:sz w:val="24"/>
          <w:szCs w:val="24"/>
        </w:rPr>
        <w:t>, CSc.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František Víťazoslav </w:t>
      </w:r>
      <w:proofErr w:type="spellStart"/>
      <w:r>
        <w:rPr>
          <w:sz w:val="24"/>
          <w:szCs w:val="24"/>
        </w:rPr>
        <w:t>Sasinek</w:t>
      </w:r>
      <w:proofErr w:type="spellEnd"/>
      <w:r>
        <w:rPr>
          <w:sz w:val="24"/>
          <w:szCs w:val="24"/>
        </w:rPr>
        <w:t>, národovec a historik v kontexte slovenského národného hnutia na prelome 19</w:t>
      </w:r>
      <w:r>
        <w:rPr>
          <w:sz w:val="24"/>
          <w:szCs w:val="24"/>
        </w:rPr>
        <w:t xml:space="preserve">. a 20. storočia / František Víťazoslav </w:t>
      </w:r>
      <w:proofErr w:type="spellStart"/>
      <w:r>
        <w:rPr>
          <w:sz w:val="24"/>
          <w:szCs w:val="24"/>
        </w:rPr>
        <w:t>Sasinek</w:t>
      </w:r>
      <w:proofErr w:type="spellEnd"/>
      <w:r>
        <w:rPr>
          <w:sz w:val="24"/>
          <w:szCs w:val="24"/>
        </w:rPr>
        <w:t xml:space="preserve">, patriot and </w:t>
      </w:r>
      <w:proofErr w:type="spellStart"/>
      <w:r>
        <w:rPr>
          <w:sz w:val="24"/>
          <w:szCs w:val="24"/>
        </w:rPr>
        <w:t>historian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Slovak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verge</w:t>
      </w:r>
      <w:proofErr w:type="spellEnd"/>
      <w:r>
        <w:rPr>
          <w:sz w:val="24"/>
          <w:szCs w:val="24"/>
        </w:rPr>
        <w:t xml:space="preserve"> of 19th and 20th </w:t>
      </w:r>
      <w:proofErr w:type="spellStart"/>
      <w:r>
        <w:rPr>
          <w:sz w:val="24"/>
          <w:szCs w:val="24"/>
        </w:rPr>
        <w:t>century</w:t>
      </w:r>
      <w:proofErr w:type="spellEnd"/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>: Karol Hollý, PhD.</w:t>
      </w:r>
    </w:p>
    <w:p w:rsidR="002C4DD9" w:rsidRDefault="002C4DD9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Vývoj vojenského školstva na Slovensku v rokoch 1939 – 19</w:t>
      </w:r>
      <w:r>
        <w:rPr>
          <w:sz w:val="24"/>
          <w:szCs w:val="24"/>
        </w:rPr>
        <w:t xml:space="preserve">45 /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Military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in Slovakia in 1939 – 1945</w:t>
      </w:r>
    </w:p>
    <w:p w:rsidR="002C4DD9" w:rsidRDefault="00C43E11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Školiteľ/</w:t>
      </w:r>
      <w:proofErr w:type="spellStart"/>
      <w:r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 xml:space="preserve">: PhDr. Peter </w:t>
      </w:r>
      <w:proofErr w:type="spellStart"/>
      <w:r>
        <w:rPr>
          <w:sz w:val="24"/>
          <w:szCs w:val="24"/>
        </w:rPr>
        <w:t>Šumichrast</w:t>
      </w:r>
      <w:proofErr w:type="spellEnd"/>
      <w:r>
        <w:rPr>
          <w:sz w:val="24"/>
          <w:szCs w:val="24"/>
        </w:rPr>
        <w:t>, PhD.</w:t>
      </w:r>
    </w:p>
    <w:p w:rsidR="002C4DD9" w:rsidRDefault="002C4DD9">
      <w:pPr>
        <w:pStyle w:val="Standard"/>
        <w:spacing w:after="0" w:line="240" w:lineRule="auto"/>
        <w:rPr>
          <w:sz w:val="24"/>
          <w:szCs w:val="24"/>
        </w:rPr>
      </w:pPr>
    </w:p>
    <w:p w:rsidR="002C4DD9" w:rsidRDefault="002C4DD9">
      <w:pPr>
        <w:pStyle w:val="Standard"/>
        <w:spacing w:after="0" w:line="240" w:lineRule="auto"/>
        <w:rPr>
          <w:sz w:val="24"/>
          <w:szCs w:val="24"/>
        </w:rPr>
      </w:pPr>
    </w:p>
    <w:p w:rsidR="002C4DD9" w:rsidRDefault="002C4DD9">
      <w:pPr>
        <w:pStyle w:val="Standard"/>
        <w:spacing w:after="0" w:line="240" w:lineRule="auto"/>
        <w:rPr>
          <w:sz w:val="24"/>
          <w:szCs w:val="24"/>
        </w:rPr>
      </w:pPr>
    </w:p>
    <w:p w:rsidR="002C4DD9" w:rsidRDefault="00C43E11">
      <w:pPr>
        <w:pStyle w:val="Standard"/>
        <w:spacing w:after="0" w:line="240" w:lineRule="auto"/>
      </w:pPr>
      <w:r>
        <w:rPr>
          <w:sz w:val="24"/>
          <w:szCs w:val="24"/>
        </w:rPr>
        <w:t xml:space="preserve">Bližšie informácie: </w:t>
      </w:r>
      <w:hyperlink r:id="rId8" w:history="1">
        <w:r>
          <w:rPr>
            <w:sz w:val="24"/>
            <w:szCs w:val="24"/>
          </w:rPr>
          <w:t>https://fphil.uniba.sk/studium/uchadzac-prijimacie-konanie/doktorandske-studium/prijimacie-konanie/</w:t>
        </w:r>
      </w:hyperlink>
    </w:p>
    <w:sectPr w:rsidR="002C4D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3E11">
      <w:r>
        <w:separator/>
      </w:r>
    </w:p>
  </w:endnote>
  <w:endnote w:type="continuationSeparator" w:id="0">
    <w:p w:rsidR="00000000" w:rsidRDefault="00C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3E11">
      <w:r>
        <w:rPr>
          <w:color w:val="000000"/>
        </w:rPr>
        <w:separator/>
      </w:r>
    </w:p>
  </w:footnote>
  <w:footnote w:type="continuationSeparator" w:id="0">
    <w:p w:rsidR="00000000" w:rsidRDefault="00C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64"/>
    <w:multiLevelType w:val="multilevel"/>
    <w:tmpl w:val="94A28D48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4C38"/>
    <w:multiLevelType w:val="multilevel"/>
    <w:tmpl w:val="7F12729A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320A75E3"/>
    <w:multiLevelType w:val="multilevel"/>
    <w:tmpl w:val="B044BE4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CF180A"/>
    <w:multiLevelType w:val="multilevel"/>
    <w:tmpl w:val="F85A21FC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DD9"/>
    <w:rsid w:val="002C4DD9"/>
    <w:rsid w:val="00C43E11"/>
    <w:rsid w:val="00C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6E5"/>
  <w15:docId w15:val="{A0AE99C3-2EFE-44A0-B1F2-C00FB55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uchadzac-prijimacie-konanie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Peter Krakornik</cp:lastModifiedBy>
  <cp:revision>2</cp:revision>
  <cp:lastPrinted>2018-05-03T13:35:00Z</cp:lastPrinted>
  <dcterms:created xsi:type="dcterms:W3CDTF">2018-05-12T22:12:00Z</dcterms:created>
  <dcterms:modified xsi:type="dcterms:W3CDTF">2018-05-12T22:12:00Z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